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val="0"/>
        <w:kinsoku/>
        <w:wordWrap/>
        <w:overflowPunct/>
        <w:topLinePunct w:val="0"/>
        <w:autoSpaceDE/>
        <w:autoSpaceDN/>
        <w:bidi w:val="0"/>
        <w:snapToGrid w:val="0"/>
        <w:spacing w:before="0" w:beforeAutospacing="0" w:after="0" w:afterAutospacing="0" w:line="560" w:lineRule="exact"/>
        <w:jc w:val="center"/>
        <w:textAlignment w:val="auto"/>
        <w:rPr>
          <w:rFonts w:hint="eastAsia" w:ascii="方正小标宋简体" w:hAnsi="方正小标宋简体" w:eastAsia="方正小标宋简体" w:cs="方正小标宋简体"/>
          <w:color w:val="000000"/>
          <w:sz w:val="44"/>
          <w:szCs w:val="44"/>
        </w:rPr>
      </w:pPr>
      <w:bookmarkStart w:id="0" w:name="_GoBack"/>
      <w:r>
        <w:rPr>
          <w:rFonts w:hint="eastAsia" w:ascii="方正小标宋简体" w:hAnsi="方正小标宋简体" w:eastAsia="方正小标宋简体" w:cs="方正小标宋简体"/>
          <w:color w:val="000000"/>
          <w:sz w:val="44"/>
          <w:szCs w:val="44"/>
        </w:rPr>
        <w:t>2021—2023年农机购置补贴实施操作要求</w:t>
      </w:r>
    </w:p>
    <w:bookmarkEnd w:id="0"/>
    <w:p>
      <w:pPr>
        <w:keepNext w:val="0"/>
        <w:keepLines w:val="0"/>
        <w:pageBreakBefore w:val="0"/>
        <w:widowControl w:val="0"/>
        <w:kinsoku/>
        <w:wordWrap/>
        <w:overflowPunct/>
        <w:topLinePunct w:val="0"/>
        <w:autoSpaceDE/>
        <w:autoSpaceDN/>
        <w:bidi w:val="0"/>
        <w:snapToGrid w:val="0"/>
        <w:spacing w:line="560" w:lineRule="exact"/>
        <w:ind w:firstLine="64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w:t>
      </w:r>
    </w:p>
    <w:p>
      <w:pPr>
        <w:keepNext w:val="0"/>
        <w:keepLines w:val="0"/>
        <w:pageBreakBefore w:val="0"/>
        <w:widowControl w:val="0"/>
        <w:kinsoku/>
        <w:wordWrap/>
        <w:overflowPunct/>
        <w:topLinePunct w:val="0"/>
        <w:autoSpaceDE/>
        <w:autoSpaceDN/>
        <w:bidi w:val="0"/>
        <w:snapToGrid w:val="0"/>
        <w:spacing w:line="560" w:lineRule="exact"/>
        <w:ind w:firstLine="640"/>
        <w:textAlignment w:val="auto"/>
        <w:rPr>
          <w:rFonts w:hint="eastAsia" w:ascii="方正黑体_GBK" w:hAnsi="方正黑体_GBK" w:eastAsia="方正黑体_GBK" w:cs="方正黑体_GBK"/>
          <w:color w:val="000000"/>
          <w:sz w:val="32"/>
          <w:szCs w:val="32"/>
        </w:rPr>
      </w:pPr>
      <w:r>
        <w:rPr>
          <w:rFonts w:hint="eastAsia" w:ascii="方正黑体_GBK" w:hAnsi="方正黑体_GBK" w:eastAsia="方正黑体_GBK" w:cs="方正黑体_GBK"/>
          <w:color w:val="000000"/>
          <w:sz w:val="32"/>
          <w:szCs w:val="32"/>
        </w:rPr>
        <w:t>一、补贴范围和补贴机具</w:t>
      </w:r>
    </w:p>
    <w:p>
      <w:pPr>
        <w:keepNext w:val="0"/>
        <w:keepLines w:val="0"/>
        <w:pageBreakBefore w:val="0"/>
        <w:widowControl w:val="0"/>
        <w:kinsoku/>
        <w:wordWrap/>
        <w:overflowPunct/>
        <w:topLinePunct w:val="0"/>
        <w:autoSpaceDE/>
        <w:autoSpaceDN/>
        <w:bidi w:val="0"/>
        <w:adjustRightInd w:val="0"/>
        <w:snapToGrid w:val="0"/>
        <w:spacing w:line="56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rPr>
        <w:t>围绕</w:t>
      </w:r>
      <w:r>
        <w:rPr>
          <w:rFonts w:hint="eastAsia" w:ascii="仿宋_GB2312" w:hAnsi="仿宋_GB2312" w:eastAsia="仿宋_GB2312" w:cs="仿宋_GB2312"/>
          <w:kern w:val="0"/>
          <w:sz w:val="32"/>
          <w:szCs w:val="32"/>
          <w:lang w:eastAsia="zh-CN"/>
        </w:rPr>
        <w:t>市委、市政府“</w:t>
      </w:r>
      <w:r>
        <w:rPr>
          <w:rFonts w:hint="eastAsia" w:ascii="仿宋_GB2312" w:hAnsi="仿宋_GB2312" w:eastAsia="仿宋_GB2312" w:cs="仿宋_GB2312"/>
          <w:kern w:val="0"/>
          <w:sz w:val="32"/>
          <w:szCs w:val="32"/>
        </w:rPr>
        <w:t>三农</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工作部署，</w:t>
      </w:r>
      <w:r>
        <w:rPr>
          <w:rFonts w:hint="eastAsia" w:ascii="仿宋_GB2312" w:hAnsi="仿宋_GB2312" w:eastAsia="仿宋_GB2312" w:cs="仿宋_GB2312"/>
          <w:sz w:val="32"/>
          <w:szCs w:val="32"/>
        </w:rPr>
        <w:t>在中央财政补贴范围内选择15大类44个小类171个品目机具列入</w:t>
      </w:r>
      <w:r>
        <w:rPr>
          <w:rFonts w:hint="eastAsia" w:ascii="仿宋_GB2312" w:hAnsi="仿宋_GB2312" w:eastAsia="仿宋_GB2312" w:cs="仿宋_GB2312"/>
          <w:sz w:val="32"/>
          <w:szCs w:val="32"/>
          <w:lang w:eastAsia="zh-CN"/>
        </w:rPr>
        <w:t>我市</w:t>
      </w:r>
      <w:r>
        <w:rPr>
          <w:rFonts w:hint="eastAsia" w:ascii="仿宋_GB2312" w:hAnsi="仿宋_GB2312" w:eastAsia="仿宋_GB2312" w:cs="仿宋_GB2312"/>
          <w:sz w:val="32"/>
          <w:szCs w:val="32"/>
        </w:rPr>
        <w:t>补贴范围（</w:t>
      </w:r>
      <w:r>
        <w:rPr>
          <w:rFonts w:hint="eastAsia" w:ascii="仿宋_GB2312" w:hAnsi="仿宋_GB2312" w:eastAsia="仿宋_GB2312" w:cs="仿宋_GB2312"/>
          <w:sz w:val="32"/>
          <w:szCs w:val="32"/>
          <w:lang w:eastAsia="zh-CN"/>
        </w:rPr>
        <w:t>同省补贴范围，</w:t>
      </w:r>
      <w:r>
        <w:rPr>
          <w:rFonts w:hint="eastAsia" w:ascii="仿宋_GB2312" w:hAnsi="仿宋_GB2312" w:eastAsia="仿宋_GB2312" w:cs="仿宋_GB2312"/>
          <w:sz w:val="32"/>
          <w:szCs w:val="32"/>
        </w:rPr>
        <w:t>详见附件2）。</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sz w:val="32"/>
          <w:szCs w:val="32"/>
          <w:lang w:eastAsia="zh-CN"/>
        </w:rPr>
        <w:t>各开发区、</w:t>
      </w:r>
      <w:r>
        <w:rPr>
          <w:rFonts w:hint="eastAsia" w:ascii="仿宋_GB2312" w:hAnsi="仿宋_GB2312" w:eastAsia="仿宋_GB2312" w:cs="仿宋_GB2312"/>
          <w:sz w:val="32"/>
          <w:szCs w:val="32"/>
        </w:rPr>
        <w:t>各区县（市）</w:t>
      </w:r>
      <w:r>
        <w:rPr>
          <w:rFonts w:hint="eastAsia" w:ascii="仿宋_GB2312" w:hAnsi="仿宋_GB2312" w:eastAsia="仿宋_GB2312" w:cs="仿宋_GB2312"/>
          <w:kern w:val="0"/>
          <w:sz w:val="32"/>
          <w:szCs w:val="32"/>
        </w:rPr>
        <w:t>应根据农业生产需要和资金供需实际，按照公开、公平、公正原则，</w:t>
      </w:r>
      <w:r>
        <w:rPr>
          <w:rFonts w:hint="eastAsia" w:ascii="仿宋_GB2312" w:hAnsi="仿宋_GB2312" w:eastAsia="仿宋_GB2312" w:cs="仿宋_GB2312"/>
          <w:sz w:val="32"/>
          <w:szCs w:val="32"/>
        </w:rPr>
        <w:t>在省定</w:t>
      </w:r>
      <w:r>
        <w:rPr>
          <w:rFonts w:hint="eastAsia" w:ascii="仿宋_GB2312" w:hAnsi="仿宋_GB2312" w:eastAsia="仿宋_GB2312" w:cs="仿宋_GB2312"/>
          <w:kern w:val="0"/>
          <w:sz w:val="32"/>
          <w:szCs w:val="32"/>
        </w:rPr>
        <w:t>补贴范围中，选取确定</w:t>
      </w:r>
      <w:r>
        <w:rPr>
          <w:rFonts w:hint="eastAsia" w:ascii="仿宋_GB2312" w:hAnsi="仿宋_GB2312" w:eastAsia="仿宋_GB2312" w:cs="仿宋_GB2312"/>
          <w:kern w:val="0"/>
          <w:sz w:val="32"/>
          <w:szCs w:val="32"/>
          <w:lang w:eastAsia="zh-CN"/>
        </w:rPr>
        <w:t>本</w:t>
      </w:r>
      <w:r>
        <w:rPr>
          <w:rFonts w:hint="eastAsia" w:ascii="仿宋_GB2312" w:hAnsi="仿宋_GB2312" w:eastAsia="仿宋_GB2312" w:cs="仿宋_GB2312"/>
          <w:sz w:val="32"/>
          <w:szCs w:val="32"/>
          <w:lang w:eastAsia="zh-CN"/>
        </w:rPr>
        <w:t>开发区、</w:t>
      </w:r>
      <w:r>
        <w:rPr>
          <w:rFonts w:hint="eastAsia" w:ascii="仿宋_GB2312" w:hAnsi="仿宋_GB2312" w:eastAsia="仿宋_GB2312" w:cs="仿宋_GB2312"/>
          <w:sz w:val="32"/>
          <w:szCs w:val="32"/>
        </w:rPr>
        <w:t>区县（市）</w:t>
      </w:r>
      <w:r>
        <w:rPr>
          <w:rFonts w:hint="eastAsia" w:ascii="仿宋_GB2312" w:hAnsi="仿宋_GB2312" w:eastAsia="仿宋_GB2312" w:cs="仿宋_GB2312"/>
          <w:kern w:val="0"/>
          <w:sz w:val="32"/>
          <w:szCs w:val="32"/>
        </w:rPr>
        <w:t>补贴机具品目，实行补贴范围内机具敞开补贴。要</w:t>
      </w:r>
      <w:r>
        <w:rPr>
          <w:rFonts w:hint="eastAsia" w:ascii="仿宋_GB2312" w:hAnsi="仿宋_GB2312" w:eastAsia="仿宋_GB2312" w:cs="仿宋_GB2312"/>
          <w:sz w:val="32"/>
          <w:szCs w:val="32"/>
        </w:rPr>
        <w:t>优先保障粮食、生猪等重要农畜产品生产、丘陵山区特色农业生产以及支持农业绿色发展和数字化发展所需机具的补贴需要，将更多符合条件的高端、复式、智能产品纳入补贴范围。按年度将区域内保有量明显过多、技术相对落后的机具品目剔除出补贴范围。</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地方特色农业发展所需和小区域适用性强的机具，可列入地方各级财政安排资金的补贴范围，具体补贴机具品目和补贴标准由地方自定，</w:t>
      </w:r>
      <w:r>
        <w:rPr>
          <w:rFonts w:hint="eastAsia" w:ascii="仿宋_GB2312" w:hAnsi="仿宋_GB2312" w:eastAsia="仿宋_GB2312" w:cs="仿宋_GB2312"/>
          <w:sz w:val="32"/>
          <w:szCs w:val="32"/>
        </w:rPr>
        <w:t>不得占用中央和省级财政补贴资金。</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sz w:val="32"/>
          <w:szCs w:val="32"/>
        </w:rPr>
        <w:t>手扶拖拉机仅限在丘陵山区县补贴（国家统计局界定）。</w:t>
      </w:r>
      <w:r>
        <w:rPr>
          <w:rFonts w:hint="eastAsia" w:ascii="仿宋_GB2312" w:hAnsi="仿宋_GB2312" w:eastAsia="仿宋_GB2312" w:cs="仿宋_GB2312"/>
          <w:color w:val="auto"/>
          <w:sz w:val="32"/>
          <w:szCs w:val="32"/>
          <w:lang w:eastAsia="zh-CN"/>
        </w:rPr>
        <w:t>郑州市丘陵县：巩义市、新密市、荥阳市。山区县：登封市。</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补贴机具必须是补贴范围内的产品（农机专项鉴定产品、农机新产品除外），同时还应具备以下资质之一：（1）获得农业机械试验鉴定证书（包括尚在有效期内的农业机械推广鉴定证书）；（2）获得农机强制性产品认证证书；（3）列入农机自愿性认证采信试点范围，获得农机自愿性产品认证证书。补贴机具须在明显位置固定标有生产企业、产品名称和型号、出厂编号、生产日期、执行标准等信息的铭牌。</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color w:val="000000"/>
          <w:sz w:val="32"/>
          <w:szCs w:val="32"/>
        </w:rPr>
      </w:pPr>
      <w:r>
        <w:rPr>
          <w:rFonts w:hint="eastAsia" w:ascii="方正黑体_GBK" w:hAnsi="方正黑体_GBK" w:eastAsia="方正黑体_GBK" w:cs="方正黑体_GBK"/>
          <w:color w:val="000000"/>
          <w:sz w:val="32"/>
          <w:szCs w:val="32"/>
        </w:rPr>
        <w:t>二、补贴对象和补贴标准</w:t>
      </w:r>
      <w:r>
        <w:rPr>
          <w:rFonts w:hint="eastAsia" w:ascii="仿宋_GB2312" w:hAnsi="仿宋_GB2312" w:eastAsia="仿宋_GB2312" w:cs="仿宋_GB2312"/>
          <w:color w:val="000000"/>
          <w:sz w:val="32"/>
          <w:szCs w:val="32"/>
        </w:rPr>
        <w:t> </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补贴对象为从事农业生产的个人和农业生产经营组织，其中农业生产经营组织包括农村集体经济组织、农民专业合作经济组织、农业企业和其他从事农业生产经营的组织。</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sz w:val="32"/>
          <w:szCs w:val="32"/>
        </w:rPr>
        <w:t>补贴标准按《</w:t>
      </w:r>
      <w:r>
        <w:rPr>
          <w:rFonts w:hint="eastAsia" w:ascii="仿宋_GB2312" w:hAnsi="仿宋_GB2312" w:eastAsia="仿宋_GB2312" w:cs="仿宋_GB2312"/>
          <w:sz w:val="32"/>
          <w:szCs w:val="32"/>
          <w:lang w:eastAsia="zh-CN"/>
        </w:rPr>
        <w:t>河南省</w:t>
      </w:r>
      <w:r>
        <w:rPr>
          <w:rFonts w:hint="eastAsia" w:ascii="仿宋_GB2312" w:hAnsi="仿宋_GB2312" w:eastAsia="仿宋_GB2312" w:cs="仿宋_GB2312"/>
          <w:sz w:val="32"/>
          <w:szCs w:val="32"/>
        </w:rPr>
        <w:t>2021-2023年农机购置补贴机具补贴额一览表》执行。</w:t>
      </w:r>
      <w:r>
        <w:rPr>
          <w:rFonts w:hint="eastAsia" w:ascii="仿宋_GB2312" w:hAnsi="仿宋_GB2312" w:eastAsia="仿宋_GB2312" w:cs="仿宋_GB2312"/>
          <w:color w:val="000000"/>
          <w:sz w:val="32"/>
          <w:szCs w:val="32"/>
        </w:rPr>
        <w:t>补贴额将保持总体稳定，</w:t>
      </w:r>
      <w:r>
        <w:rPr>
          <w:rFonts w:hint="eastAsia" w:ascii="仿宋_GB2312" w:hAnsi="仿宋_GB2312" w:eastAsia="仿宋_GB2312" w:cs="仿宋_GB2312"/>
          <w:color w:val="000000"/>
          <w:sz w:val="32"/>
          <w:szCs w:val="32"/>
          <w:lang w:eastAsia="zh-CN"/>
        </w:rPr>
        <w:t>各开发区、</w:t>
      </w:r>
      <w:r>
        <w:rPr>
          <w:rFonts w:hint="eastAsia" w:ascii="仿宋_GB2312" w:hAnsi="仿宋_GB2312" w:eastAsia="仿宋_GB2312" w:cs="仿宋_GB2312"/>
          <w:color w:val="000000"/>
          <w:sz w:val="32"/>
          <w:szCs w:val="32"/>
        </w:rPr>
        <w:t>各</w:t>
      </w:r>
      <w:r>
        <w:rPr>
          <w:rFonts w:hint="eastAsia" w:ascii="仿宋_GB2312" w:hAnsi="仿宋_GB2312" w:eastAsia="仿宋_GB2312" w:cs="仿宋_GB2312"/>
          <w:sz w:val="32"/>
          <w:szCs w:val="32"/>
        </w:rPr>
        <w:t>区县（市）要</w:t>
      </w:r>
      <w:r>
        <w:rPr>
          <w:rFonts w:hint="eastAsia" w:ascii="仿宋_GB2312" w:hAnsi="仿宋_GB2312" w:eastAsia="仿宋_GB2312" w:cs="仿宋_GB2312"/>
          <w:color w:val="000000"/>
          <w:sz w:val="32"/>
          <w:szCs w:val="32"/>
        </w:rPr>
        <w:t>全面公开农机购置补贴机具补贴额一览表，加强宣传，引导购机者根据各档次的补贴定额自主议价。在政策实施过程中，</w:t>
      </w:r>
      <w:r>
        <w:rPr>
          <w:rFonts w:hint="eastAsia" w:ascii="仿宋_GB2312" w:hAnsi="仿宋_GB2312" w:eastAsia="仿宋_GB2312" w:cs="仿宋_GB2312"/>
          <w:sz w:val="32"/>
          <w:szCs w:val="32"/>
        </w:rPr>
        <w:t>发现具体产品或档次的中央财政资金实际补贴比例超过50%的，</w:t>
      </w:r>
      <w:r>
        <w:rPr>
          <w:rFonts w:hint="eastAsia" w:ascii="仿宋_GB2312" w:hAnsi="仿宋_GB2312" w:eastAsia="仿宋_GB2312" w:cs="仿宋_GB2312"/>
          <w:color w:val="000000"/>
          <w:sz w:val="32"/>
          <w:szCs w:val="32"/>
        </w:rPr>
        <w:t>应及时组织调查，对有违规情节的，按相关规定处理；对无违规情节的补贴申请，可按原规定兑付补贴资金，并组织对相关产品及其所属档次补贴额进行评估，视情况及时上报调整。</w:t>
      </w:r>
    </w:p>
    <w:p>
      <w:pPr>
        <w:pStyle w:val="3"/>
        <w:keepNext w:val="0"/>
        <w:keepLines w:val="0"/>
        <w:pageBreakBefore w:val="0"/>
        <w:widowControl w:val="0"/>
        <w:kinsoku/>
        <w:wordWrap/>
        <w:overflowPunct/>
        <w:topLinePunct w:val="0"/>
        <w:autoSpaceDE/>
        <w:autoSpaceDN/>
        <w:bidi w:val="0"/>
        <w:snapToGrid w:val="0"/>
        <w:spacing w:before="0" w:beforeAutospacing="0" w:after="0" w:afterAutospacing="0" w:line="560" w:lineRule="exact"/>
        <w:ind w:firstLine="665"/>
        <w:jc w:val="both"/>
        <w:textAlignment w:val="auto"/>
        <w:rPr>
          <w:rFonts w:hint="eastAsia" w:ascii="仿宋_GB2312" w:hAnsi="仿宋_GB2312" w:eastAsia="仿宋_GB2312" w:cs="仿宋_GB2312"/>
          <w:color w:val="000000"/>
          <w:sz w:val="32"/>
          <w:szCs w:val="32"/>
        </w:rPr>
      </w:pPr>
      <w:r>
        <w:rPr>
          <w:rFonts w:hint="eastAsia" w:ascii="方正黑体_GBK" w:hAnsi="方正黑体_GBK" w:eastAsia="方正黑体_GBK" w:cs="方正黑体_GBK"/>
          <w:color w:val="000000"/>
          <w:sz w:val="32"/>
          <w:szCs w:val="32"/>
        </w:rPr>
        <w:t>三、资金分配与使用</w:t>
      </w:r>
      <w:r>
        <w:rPr>
          <w:rFonts w:hint="eastAsia" w:ascii="仿宋_GB2312" w:hAnsi="仿宋_GB2312" w:eastAsia="仿宋_GB2312" w:cs="仿宋_GB2312"/>
          <w:color w:val="000000"/>
          <w:sz w:val="32"/>
          <w:szCs w:val="32"/>
        </w:rPr>
        <w:t> </w:t>
      </w:r>
    </w:p>
    <w:p>
      <w:pPr>
        <w:pStyle w:val="3"/>
        <w:keepNext w:val="0"/>
        <w:keepLines w:val="0"/>
        <w:pageBreakBefore w:val="0"/>
        <w:widowControl w:val="0"/>
        <w:kinsoku/>
        <w:wordWrap/>
        <w:overflowPunct/>
        <w:topLinePunct w:val="0"/>
        <w:autoSpaceDE/>
        <w:autoSpaceDN/>
        <w:bidi w:val="0"/>
        <w:snapToGrid w:val="0"/>
        <w:spacing w:before="0" w:beforeAutospacing="0" w:after="0" w:afterAutospacing="0" w:line="560" w:lineRule="exact"/>
        <w:ind w:firstLine="64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农机购置补贴支出主要用于支持购置先进适用农业机械，以及开展有关试点和农机报废更新等方面。</w:t>
      </w:r>
      <w:r>
        <w:rPr>
          <w:rFonts w:hint="eastAsia" w:ascii="仿宋_GB2312" w:hAnsi="仿宋_GB2312" w:eastAsia="仿宋_GB2312" w:cs="仿宋_GB2312"/>
          <w:color w:val="000000"/>
          <w:sz w:val="32"/>
          <w:szCs w:val="32"/>
          <w:lang w:eastAsia="zh-CN"/>
        </w:rPr>
        <w:t>郑州市农委</w:t>
      </w:r>
      <w:r>
        <w:rPr>
          <w:rFonts w:hint="eastAsia" w:ascii="仿宋_GB2312" w:hAnsi="仿宋_GB2312" w:eastAsia="仿宋_GB2312" w:cs="仿宋_GB2312"/>
          <w:color w:val="000000"/>
          <w:sz w:val="32"/>
          <w:szCs w:val="32"/>
        </w:rPr>
        <w:t>会同</w:t>
      </w:r>
      <w:r>
        <w:rPr>
          <w:rFonts w:hint="eastAsia" w:ascii="仿宋_GB2312" w:hAnsi="仿宋_GB2312" w:eastAsia="仿宋_GB2312" w:cs="仿宋_GB2312"/>
          <w:color w:val="000000"/>
          <w:sz w:val="32"/>
          <w:szCs w:val="32"/>
          <w:lang w:eastAsia="zh-CN"/>
        </w:rPr>
        <w:t>市</w:t>
      </w:r>
      <w:r>
        <w:rPr>
          <w:rFonts w:hint="eastAsia" w:ascii="仿宋_GB2312" w:hAnsi="仿宋_GB2312" w:eastAsia="仿宋_GB2312" w:cs="仿宋_GB2312"/>
          <w:color w:val="000000"/>
          <w:sz w:val="32"/>
          <w:szCs w:val="32"/>
        </w:rPr>
        <w:t>财政</w:t>
      </w:r>
      <w:r>
        <w:rPr>
          <w:rFonts w:hint="eastAsia" w:ascii="仿宋_GB2312" w:hAnsi="仿宋_GB2312" w:eastAsia="仿宋_GB2312" w:cs="仿宋_GB2312"/>
          <w:color w:val="000000"/>
          <w:sz w:val="32"/>
          <w:szCs w:val="32"/>
          <w:lang w:eastAsia="zh-CN"/>
        </w:rPr>
        <w:t>局</w:t>
      </w:r>
      <w:r>
        <w:rPr>
          <w:rFonts w:hint="eastAsia" w:ascii="仿宋_GB2312" w:hAnsi="仿宋_GB2312" w:eastAsia="仿宋_GB2312" w:cs="仿宋_GB2312"/>
          <w:color w:val="000000"/>
          <w:sz w:val="32"/>
          <w:szCs w:val="32"/>
        </w:rPr>
        <w:t>采用因素法（包括基础性因素和政策性因素、绩效因素、巩固拓展脱贫攻坚成果因素等）测算分配资金，不突破县级需求上限分配资金，调减资金结转量大、政策实施风险高、资金使用效益低地区的预算规模。</w:t>
      </w:r>
      <w:r>
        <w:rPr>
          <w:rFonts w:hint="eastAsia" w:ascii="仿宋_GB2312" w:hAnsi="仿宋_GB2312" w:eastAsia="仿宋_GB2312" w:cs="仿宋_GB2312"/>
          <w:color w:val="000000"/>
          <w:sz w:val="32"/>
          <w:szCs w:val="32"/>
          <w:lang w:eastAsia="zh-CN"/>
        </w:rPr>
        <w:t>市财政局</w:t>
      </w:r>
      <w:r>
        <w:rPr>
          <w:rFonts w:hint="eastAsia" w:ascii="仿宋_GB2312" w:hAnsi="仿宋_GB2312" w:eastAsia="仿宋_GB2312" w:cs="仿宋_GB2312"/>
          <w:color w:val="000000"/>
          <w:sz w:val="32"/>
          <w:szCs w:val="32"/>
        </w:rPr>
        <w:t>会同</w:t>
      </w:r>
      <w:r>
        <w:rPr>
          <w:rFonts w:hint="eastAsia" w:ascii="仿宋_GB2312" w:hAnsi="仿宋_GB2312" w:eastAsia="仿宋_GB2312" w:cs="仿宋_GB2312"/>
          <w:color w:val="000000"/>
          <w:sz w:val="32"/>
          <w:szCs w:val="32"/>
          <w:lang w:eastAsia="zh-CN"/>
        </w:rPr>
        <w:t>市农委</w:t>
      </w:r>
      <w:r>
        <w:rPr>
          <w:rFonts w:hint="eastAsia" w:ascii="仿宋_GB2312" w:hAnsi="仿宋_GB2312" w:eastAsia="仿宋_GB2312" w:cs="仿宋_GB2312"/>
          <w:color w:val="000000"/>
          <w:sz w:val="32"/>
          <w:szCs w:val="32"/>
        </w:rPr>
        <w:t>加强资金使用情况监测，定期调度和发布</w:t>
      </w:r>
      <w:r>
        <w:rPr>
          <w:rFonts w:hint="eastAsia" w:ascii="仿宋_GB2312" w:hAnsi="仿宋_GB2312" w:eastAsia="仿宋_GB2312" w:cs="仿宋_GB2312"/>
          <w:color w:val="000000"/>
          <w:sz w:val="32"/>
          <w:szCs w:val="32"/>
          <w:lang w:eastAsia="zh-CN"/>
        </w:rPr>
        <w:t>开发区、</w:t>
      </w:r>
      <w:r>
        <w:rPr>
          <w:rFonts w:hint="eastAsia" w:ascii="仿宋_GB2312" w:hAnsi="仿宋_GB2312" w:eastAsia="仿宋_GB2312" w:cs="仿宋_GB2312"/>
          <w:color w:val="000000"/>
          <w:sz w:val="32"/>
          <w:szCs w:val="32"/>
        </w:rPr>
        <w:t>区县（市）资金使用进度，督促相关</w:t>
      </w:r>
      <w:r>
        <w:rPr>
          <w:rFonts w:hint="eastAsia" w:ascii="仿宋_GB2312" w:hAnsi="仿宋_GB2312" w:eastAsia="仿宋_GB2312" w:cs="仿宋_GB2312"/>
          <w:color w:val="000000"/>
          <w:sz w:val="32"/>
          <w:szCs w:val="32"/>
          <w:lang w:eastAsia="zh-CN"/>
        </w:rPr>
        <w:t>开发区、</w:t>
      </w:r>
      <w:r>
        <w:rPr>
          <w:rFonts w:hint="eastAsia" w:ascii="仿宋_GB2312" w:hAnsi="仿宋_GB2312" w:eastAsia="仿宋_GB2312" w:cs="仿宋_GB2312"/>
          <w:color w:val="000000"/>
          <w:sz w:val="32"/>
          <w:szCs w:val="32"/>
        </w:rPr>
        <w:t>区县（市）优先使用结转资金，督促预算执行较慢地区加快使用，</w:t>
      </w:r>
      <w:r>
        <w:rPr>
          <w:rFonts w:hint="eastAsia" w:ascii="仿宋_GB2312" w:hAnsi="仿宋_GB2312" w:eastAsia="仿宋_GB2312" w:cs="仿宋_GB2312"/>
          <w:sz w:val="32"/>
          <w:szCs w:val="32"/>
        </w:rPr>
        <w:t>并按需组织开展</w:t>
      </w:r>
      <w:r>
        <w:rPr>
          <w:rFonts w:hint="eastAsia" w:ascii="仿宋_GB2312" w:hAnsi="仿宋_GB2312" w:eastAsia="仿宋_GB2312" w:cs="仿宋_GB2312"/>
          <w:color w:val="000000"/>
          <w:sz w:val="32"/>
          <w:szCs w:val="32"/>
          <w:lang w:eastAsia="zh-CN"/>
        </w:rPr>
        <w:t>开发区、</w:t>
      </w:r>
      <w:r>
        <w:rPr>
          <w:rFonts w:hint="eastAsia" w:ascii="仿宋_GB2312" w:hAnsi="仿宋_GB2312" w:eastAsia="仿宋_GB2312" w:cs="仿宋_GB2312"/>
          <w:color w:val="000000"/>
          <w:sz w:val="32"/>
          <w:szCs w:val="32"/>
        </w:rPr>
        <w:t>区县（市）</w:t>
      </w:r>
      <w:r>
        <w:rPr>
          <w:rFonts w:hint="eastAsia" w:ascii="仿宋_GB2312" w:hAnsi="仿宋_GB2312" w:eastAsia="仿宋_GB2312" w:cs="仿宋_GB2312"/>
          <w:sz w:val="32"/>
          <w:szCs w:val="32"/>
        </w:rPr>
        <w:t>际余缺调剂，重点将实施进度低于序时进度</w:t>
      </w:r>
      <w:r>
        <w:rPr>
          <w:rFonts w:hint="eastAsia" w:ascii="仿宋_GB2312" w:hAnsi="仿宋_GB2312" w:eastAsia="仿宋_GB2312" w:cs="仿宋_GB2312"/>
          <w:color w:val="000000"/>
          <w:sz w:val="32"/>
          <w:szCs w:val="32"/>
          <w:lang w:eastAsia="zh-CN"/>
        </w:rPr>
        <w:t>开发区、</w:t>
      </w:r>
      <w:r>
        <w:rPr>
          <w:rFonts w:hint="eastAsia" w:ascii="仿宋_GB2312" w:hAnsi="仿宋_GB2312" w:eastAsia="仿宋_GB2312" w:cs="仿宋_GB2312"/>
          <w:color w:val="000000"/>
          <w:sz w:val="32"/>
          <w:szCs w:val="32"/>
        </w:rPr>
        <w:t>区县（市）</w:t>
      </w:r>
      <w:r>
        <w:rPr>
          <w:rFonts w:hint="eastAsia" w:ascii="仿宋_GB2312" w:hAnsi="仿宋_GB2312" w:eastAsia="仿宋_GB2312" w:cs="仿宋_GB2312"/>
          <w:sz w:val="32"/>
          <w:szCs w:val="32"/>
        </w:rPr>
        <w:t>的补贴资金调增给已出现供需缺口的</w:t>
      </w:r>
      <w:r>
        <w:rPr>
          <w:rFonts w:hint="eastAsia" w:ascii="仿宋_GB2312" w:hAnsi="仿宋_GB2312" w:eastAsia="仿宋_GB2312" w:cs="仿宋_GB2312"/>
          <w:color w:val="000000"/>
          <w:sz w:val="32"/>
          <w:szCs w:val="32"/>
          <w:lang w:eastAsia="zh-CN"/>
        </w:rPr>
        <w:t>开发区、</w:t>
      </w:r>
      <w:r>
        <w:rPr>
          <w:rFonts w:hint="eastAsia" w:ascii="仿宋_GB2312" w:hAnsi="仿宋_GB2312" w:eastAsia="仿宋_GB2312" w:cs="仿宋_GB2312"/>
          <w:color w:val="000000"/>
          <w:sz w:val="32"/>
          <w:szCs w:val="32"/>
        </w:rPr>
        <w:t>区县（市）</w:t>
      </w:r>
      <w:r>
        <w:rPr>
          <w:rFonts w:hint="eastAsia" w:ascii="仿宋_GB2312" w:hAnsi="仿宋_GB2312" w:eastAsia="仿宋_GB2312" w:cs="仿宋_GB2312"/>
          <w:sz w:val="32"/>
          <w:szCs w:val="32"/>
        </w:rPr>
        <w:t>，确保不发生资金大量结转，促进资金使用实现两年动态紧平衡。 </w:t>
      </w:r>
    </w:p>
    <w:p>
      <w:pPr>
        <w:pStyle w:val="3"/>
        <w:keepNext w:val="0"/>
        <w:keepLines w:val="0"/>
        <w:pageBreakBefore w:val="0"/>
        <w:widowControl w:val="0"/>
        <w:kinsoku/>
        <w:wordWrap/>
        <w:overflowPunct/>
        <w:topLinePunct w:val="0"/>
        <w:autoSpaceDE/>
        <w:autoSpaceDN/>
        <w:bidi w:val="0"/>
        <w:snapToGrid w:val="0"/>
        <w:spacing w:before="0" w:beforeAutospacing="0" w:after="0" w:afterAutospacing="0" w:line="560" w:lineRule="exact"/>
        <w:ind w:firstLine="64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农机购置补贴政策继续覆盖全</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所有农业</w:t>
      </w:r>
      <w:r>
        <w:rPr>
          <w:rFonts w:hint="eastAsia" w:ascii="仿宋_GB2312" w:hAnsi="仿宋_GB2312" w:eastAsia="仿宋_GB2312" w:cs="仿宋_GB2312"/>
          <w:sz w:val="32"/>
          <w:szCs w:val="32"/>
          <w:lang w:eastAsia="zh-CN"/>
        </w:rPr>
        <w:t>开发区、</w:t>
      </w:r>
      <w:r>
        <w:rPr>
          <w:rFonts w:hint="eastAsia" w:ascii="仿宋_GB2312" w:hAnsi="仿宋_GB2312" w:eastAsia="仿宋_GB2312" w:cs="仿宋_GB2312"/>
          <w:sz w:val="32"/>
          <w:szCs w:val="32"/>
        </w:rPr>
        <w:t>区县（市）。耕地面积较小的</w:t>
      </w:r>
      <w:r>
        <w:rPr>
          <w:rFonts w:hint="eastAsia" w:ascii="仿宋_GB2312" w:hAnsi="仿宋_GB2312" w:eastAsia="仿宋_GB2312" w:cs="仿宋_GB2312"/>
          <w:sz w:val="32"/>
          <w:szCs w:val="32"/>
          <w:lang w:eastAsia="zh-CN"/>
        </w:rPr>
        <w:t>开发区、</w:t>
      </w:r>
      <w:r>
        <w:rPr>
          <w:rFonts w:hint="eastAsia" w:ascii="仿宋_GB2312" w:hAnsi="仿宋_GB2312" w:eastAsia="仿宋_GB2312" w:cs="仿宋_GB2312"/>
          <w:sz w:val="32"/>
          <w:szCs w:val="32"/>
        </w:rPr>
        <w:t>市辖区可由邻近区县（市）代为实施。</w:t>
      </w:r>
      <w:r>
        <w:rPr>
          <w:rFonts w:hint="eastAsia" w:ascii="仿宋_GB2312" w:hAnsi="仿宋_GB2312" w:eastAsia="仿宋_GB2312" w:cs="仿宋_GB2312"/>
          <w:sz w:val="32"/>
          <w:szCs w:val="32"/>
          <w:lang w:eastAsia="zh-CN"/>
        </w:rPr>
        <w:t>国有农场，纳入所在开发区、区县（市）农业机械购置补贴实施范围。农场职工与本开发区、区县（市）其他农民享有同等申请补贴的权利。</w:t>
      </w:r>
    </w:p>
    <w:p>
      <w:pPr>
        <w:pStyle w:val="3"/>
        <w:keepNext w:val="0"/>
        <w:keepLines w:val="0"/>
        <w:pageBreakBefore w:val="0"/>
        <w:widowControl w:val="0"/>
        <w:kinsoku/>
        <w:wordWrap/>
        <w:overflowPunct/>
        <w:topLinePunct w:val="0"/>
        <w:autoSpaceDE/>
        <w:autoSpaceDN/>
        <w:bidi w:val="0"/>
        <w:snapToGrid w:val="0"/>
        <w:spacing w:before="0" w:beforeAutospacing="0" w:after="0" w:afterAutospacing="0" w:line="560" w:lineRule="exact"/>
        <w:ind w:firstLine="64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农机报废更新补贴按《农业农村部办公厅、财政部办公厅、商务部办公厅关于印发〈农业机械报废更新补贴实施指导意见〉的通知》（农办机〔2020〕2号）执行。</w:t>
      </w:r>
    </w:p>
    <w:p>
      <w:pPr>
        <w:pStyle w:val="3"/>
        <w:keepNext w:val="0"/>
        <w:keepLines w:val="0"/>
        <w:pageBreakBefore w:val="0"/>
        <w:widowControl w:val="0"/>
        <w:kinsoku/>
        <w:wordWrap/>
        <w:overflowPunct/>
        <w:topLinePunct w:val="0"/>
        <w:autoSpaceDE/>
        <w:autoSpaceDN/>
        <w:bidi w:val="0"/>
        <w:snapToGrid w:val="0"/>
        <w:spacing w:before="0" w:beforeAutospacing="0" w:after="0" w:afterAutospacing="0" w:line="560" w:lineRule="exact"/>
        <w:ind w:firstLine="64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农机购置补贴属约束性任务，资金必须足额保障，不得用于其他任务支出。地方各级财政部门要保障补贴工作实施必要的组织管理经费。</w:t>
      </w:r>
    </w:p>
    <w:p>
      <w:pPr>
        <w:pStyle w:val="3"/>
        <w:keepNext w:val="0"/>
        <w:keepLines w:val="0"/>
        <w:pageBreakBefore w:val="0"/>
        <w:widowControl w:val="0"/>
        <w:kinsoku/>
        <w:wordWrap/>
        <w:overflowPunct/>
        <w:topLinePunct w:val="0"/>
        <w:autoSpaceDE/>
        <w:autoSpaceDN/>
        <w:bidi w:val="0"/>
        <w:snapToGrid w:val="0"/>
        <w:spacing w:before="0" w:beforeAutospacing="0" w:after="0" w:afterAutospacing="0" w:line="560" w:lineRule="exact"/>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w:t>
      </w:r>
      <w:r>
        <w:rPr>
          <w:rFonts w:hint="eastAsia" w:ascii="方正黑体_GBK" w:hAnsi="方正黑体_GBK" w:eastAsia="方正黑体_GBK" w:cs="方正黑体_GBK"/>
          <w:color w:val="000000"/>
          <w:sz w:val="32"/>
          <w:szCs w:val="32"/>
        </w:rPr>
        <w:t>　四、操作流程 </w:t>
      </w:r>
    </w:p>
    <w:p>
      <w:pPr>
        <w:pStyle w:val="3"/>
        <w:keepNext w:val="0"/>
        <w:keepLines w:val="0"/>
        <w:pageBreakBefore w:val="0"/>
        <w:widowControl w:val="0"/>
        <w:kinsoku/>
        <w:wordWrap/>
        <w:overflowPunct/>
        <w:topLinePunct w:val="0"/>
        <w:autoSpaceDE/>
        <w:autoSpaceDN/>
        <w:bidi w:val="0"/>
        <w:snapToGrid w:val="0"/>
        <w:spacing w:before="0" w:beforeAutospacing="0" w:after="0" w:afterAutospacing="0" w:line="560" w:lineRule="exact"/>
        <w:ind w:firstLine="64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农机购置补贴政策按照“自主购机、定额补贴、先购后补、县级结算、直补到卡（户）”方式实施。购机者自主选择购买机具，按市场化原则自行与农机产销企业协商确定购机价格与支付方式，并对交易行为真实性、有效性和可能发生的纠纷承担法律责任。购机行为完成后，购机者自主向当地农业农村部门提出补贴资金申领事项，签署告知承诺书，承诺购买行为、发票购机价格等信息真实有效，按相关规定申办补贴。 </w:t>
      </w:r>
    </w:p>
    <w:p>
      <w:pPr>
        <w:pStyle w:val="3"/>
        <w:keepNext w:val="0"/>
        <w:keepLines w:val="0"/>
        <w:pageBreakBefore w:val="0"/>
        <w:widowControl w:val="0"/>
        <w:kinsoku/>
        <w:wordWrap/>
        <w:overflowPunct/>
        <w:topLinePunct w:val="0"/>
        <w:autoSpaceDE/>
        <w:autoSpaceDN/>
        <w:bidi w:val="0"/>
        <w:snapToGrid w:val="0"/>
        <w:spacing w:before="0" w:beforeAutospacing="0" w:after="0" w:afterAutospacing="0" w:line="560" w:lineRule="exact"/>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各地农机购置补贴政策实施工作按以下流程操作。</w:t>
      </w:r>
    </w:p>
    <w:p>
      <w:pPr>
        <w:pStyle w:val="3"/>
        <w:keepNext w:val="0"/>
        <w:keepLines w:val="0"/>
        <w:pageBreakBefore w:val="0"/>
        <w:widowControl w:val="0"/>
        <w:kinsoku/>
        <w:wordWrap/>
        <w:overflowPunct/>
        <w:topLinePunct w:val="0"/>
        <w:autoSpaceDE/>
        <w:autoSpaceDN/>
        <w:bidi w:val="0"/>
        <w:snapToGrid w:val="0"/>
        <w:spacing w:before="0" w:beforeAutospacing="0" w:after="0" w:afterAutospacing="0" w:line="560" w:lineRule="exact"/>
        <w:ind w:firstLine="643" w:firstLineChars="20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（一）发布实施规定。</w:t>
      </w:r>
      <w:r>
        <w:rPr>
          <w:rFonts w:hint="eastAsia" w:ascii="仿宋_GB2312" w:hAnsi="仿宋_GB2312" w:eastAsia="仿宋_GB2312" w:cs="仿宋_GB2312"/>
          <w:color w:val="000000"/>
          <w:sz w:val="32"/>
          <w:szCs w:val="32"/>
        </w:rPr>
        <w:t>县级农业农村、财政部门按职责分工和有关规定发布本地区农机购置补贴实施方案、操作程序、补贴额一览表、补贴机具信息表、咨询投诉举报电话等信息。</w:t>
      </w:r>
    </w:p>
    <w:p>
      <w:pPr>
        <w:pStyle w:val="3"/>
        <w:keepNext w:val="0"/>
        <w:keepLines w:val="0"/>
        <w:pageBreakBefore w:val="0"/>
        <w:widowControl w:val="0"/>
        <w:kinsoku/>
        <w:wordWrap/>
        <w:overflowPunct/>
        <w:topLinePunct w:val="0"/>
        <w:autoSpaceDE/>
        <w:autoSpaceDN/>
        <w:bidi w:val="0"/>
        <w:snapToGrid w:val="0"/>
        <w:spacing w:before="0" w:beforeAutospacing="0" w:after="0" w:afterAutospacing="0" w:line="560" w:lineRule="exact"/>
        <w:ind w:firstLine="643" w:firstLineChars="20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（二）受理补贴申请。</w:t>
      </w:r>
      <w:r>
        <w:rPr>
          <w:rFonts w:hint="eastAsia" w:ascii="仿宋_GB2312" w:hAnsi="仿宋_GB2312" w:eastAsia="仿宋_GB2312" w:cs="仿宋_GB2312"/>
          <w:color w:val="000000"/>
          <w:sz w:val="32"/>
          <w:szCs w:val="32"/>
        </w:rPr>
        <w:t>县级农业农村部门全面实行办理服务系统常年连续开放，推广使用带有人脸识别功能的手机App等信息化技术，方便购机者随时在线提交补贴申请、应录尽录，加快实现购机者线下申领补贴“最多跑一次”“最多跑一地”。县级农机购置补贴资金申请数量达到当年可用资金（含结转资金和调剂资金）总量110%的，相关</w:t>
      </w:r>
      <w:r>
        <w:rPr>
          <w:rFonts w:hint="eastAsia" w:ascii="仿宋_GB2312" w:hAnsi="仿宋_GB2312" w:eastAsia="仿宋_GB2312" w:cs="仿宋_GB2312"/>
          <w:color w:val="000000"/>
          <w:sz w:val="32"/>
          <w:szCs w:val="32"/>
          <w:lang w:eastAsia="zh-CN"/>
        </w:rPr>
        <w:t>开发区、区县（市）</w:t>
      </w:r>
      <w:r>
        <w:rPr>
          <w:rFonts w:hint="eastAsia" w:ascii="仿宋_GB2312" w:hAnsi="仿宋_GB2312" w:eastAsia="仿宋_GB2312" w:cs="仿宋_GB2312"/>
          <w:color w:val="000000"/>
          <w:sz w:val="32"/>
          <w:szCs w:val="32"/>
        </w:rPr>
        <w:t>应及时发布公告，停止受理补贴申请。</w:t>
      </w:r>
    </w:p>
    <w:p>
      <w:pPr>
        <w:pStyle w:val="3"/>
        <w:keepNext w:val="0"/>
        <w:keepLines w:val="0"/>
        <w:pageBreakBefore w:val="0"/>
        <w:widowControl w:val="0"/>
        <w:kinsoku/>
        <w:wordWrap/>
        <w:overflowPunct/>
        <w:topLinePunct w:val="0"/>
        <w:autoSpaceDE/>
        <w:autoSpaceDN/>
        <w:bidi w:val="0"/>
        <w:snapToGrid w:val="0"/>
        <w:spacing w:before="0" w:beforeAutospacing="0" w:after="0" w:afterAutospacing="0" w:line="560" w:lineRule="exact"/>
        <w:ind w:firstLine="64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（三）审验公示信息。</w:t>
      </w:r>
      <w:r>
        <w:rPr>
          <w:rFonts w:hint="eastAsia" w:ascii="仿宋_GB2312" w:hAnsi="仿宋_GB2312" w:eastAsia="仿宋_GB2312" w:cs="仿宋_GB2312"/>
          <w:color w:val="000000"/>
          <w:sz w:val="32"/>
          <w:szCs w:val="32"/>
        </w:rPr>
        <w:t>县级农业农村部门按照《</w:t>
      </w:r>
      <w:r>
        <w:rPr>
          <w:rFonts w:hint="eastAsia" w:ascii="仿宋_GB2312" w:hAnsi="仿宋_GB2312" w:eastAsia="仿宋_GB2312" w:cs="仿宋_GB2312"/>
          <w:sz w:val="32"/>
          <w:szCs w:val="32"/>
          <w:lang w:val="en" w:eastAsia="zh-CN"/>
        </w:rPr>
        <w:t>河南省</w:t>
      </w:r>
      <w:r>
        <w:rPr>
          <w:rFonts w:hint="eastAsia" w:ascii="仿宋_GB2312" w:hAnsi="仿宋_GB2312" w:eastAsia="仿宋_GB2312" w:cs="仿宋_GB2312"/>
          <w:sz w:val="32"/>
          <w:szCs w:val="32"/>
        </w:rPr>
        <w:t>农机购置补贴机具核验工作要点（试行）</w:t>
      </w:r>
      <w:r>
        <w:rPr>
          <w:rFonts w:hint="eastAsia" w:ascii="仿宋_GB2312" w:hAnsi="仿宋_GB2312" w:eastAsia="仿宋_GB2312" w:cs="仿宋_GB2312"/>
          <w:color w:val="000000"/>
          <w:sz w:val="32"/>
          <w:szCs w:val="32"/>
        </w:rPr>
        <w:t>》等要求，对补贴相关申请资料进行形式审核，</w:t>
      </w:r>
      <w:r>
        <w:rPr>
          <w:rFonts w:hint="eastAsia" w:ascii="仿宋_GB2312" w:hAnsi="仿宋_GB2312" w:eastAsia="仿宋_GB2312" w:cs="仿宋_GB2312"/>
          <w:sz w:val="32"/>
          <w:szCs w:val="32"/>
        </w:rPr>
        <w:t>对补贴机具进行核验，其中牌证管理机具凭牌证免于现场实物核验</w:t>
      </w:r>
      <w:r>
        <w:rPr>
          <w:rFonts w:hint="eastAsia" w:ascii="仿宋_GB2312" w:hAnsi="仿宋_GB2312" w:eastAsia="仿宋_GB2312" w:cs="仿宋_GB2312"/>
          <w:color w:val="000000"/>
          <w:sz w:val="32"/>
          <w:szCs w:val="32"/>
        </w:rPr>
        <w:t>。农业农村部门在收到购机者补贴申请后，应于2个工作日内做出是否受理的决定，对因资料不齐全等原因无法受理的，应注明原因，并按原渠道退回申请；对符合条件可以受理的，应于13个工作日内（不含公示时间）完成相关核验工作，并在农机购置补贴信息公开专栏实时公布补贴申请信息，公示时间为5个工作日。鼓励在乡村或补贴申请点公示栏中同时公开公示信息。</w:t>
      </w:r>
    </w:p>
    <w:p>
      <w:pPr>
        <w:pStyle w:val="3"/>
        <w:keepNext w:val="0"/>
        <w:keepLines w:val="0"/>
        <w:pageBreakBefore w:val="0"/>
        <w:widowControl w:val="0"/>
        <w:kinsoku/>
        <w:wordWrap/>
        <w:overflowPunct/>
        <w:topLinePunct w:val="0"/>
        <w:autoSpaceDE/>
        <w:autoSpaceDN/>
        <w:bidi w:val="0"/>
        <w:snapToGrid w:val="0"/>
        <w:spacing w:before="0" w:beforeAutospacing="0" w:after="0" w:afterAutospacing="0" w:line="560" w:lineRule="exact"/>
        <w:ind w:firstLine="64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（四）兑付补贴资金。</w:t>
      </w:r>
      <w:r>
        <w:rPr>
          <w:rFonts w:hint="eastAsia" w:ascii="仿宋_GB2312" w:hAnsi="仿宋_GB2312" w:eastAsia="仿宋_GB2312" w:cs="仿宋_GB2312"/>
          <w:color w:val="000000"/>
          <w:sz w:val="32"/>
          <w:szCs w:val="32"/>
        </w:rPr>
        <w:t>县级财政部门审核农业农村部门提交的资金兑付申请与有关材料，于15个工作日内通过国库集中支付方式向符合要求的购机者兑付资金。严禁挤占挪用农机购置补贴资金。因资金不足或加强监管等原因需要延期兑付的，应告知购机者，并及时与同级农业农村部门联合向上报告资金供需情况。补贴申领原则上当年有效，因当年财政补贴资金规模不够、办理手续时间紧张等无法享受补贴的，可在下一个年度优先兑付。</w:t>
      </w:r>
    </w:p>
    <w:p>
      <w:pPr>
        <w:pStyle w:val="3"/>
        <w:keepNext w:val="0"/>
        <w:keepLines w:val="0"/>
        <w:pageBreakBefore w:val="0"/>
        <w:widowControl w:val="0"/>
        <w:kinsoku/>
        <w:wordWrap/>
        <w:overflowPunct/>
        <w:topLinePunct w:val="0"/>
        <w:autoSpaceDE/>
        <w:autoSpaceDN/>
        <w:bidi w:val="0"/>
        <w:snapToGrid w:val="0"/>
        <w:spacing w:before="0" w:beforeAutospacing="0" w:after="0" w:afterAutospacing="0" w:line="560" w:lineRule="exact"/>
        <w:ind w:firstLine="640" w:firstLineChars="20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补贴政策全面实行跨年度连续实施，除发生违规行为或补贴资金超录外，不得以任何理由限制购机者提交补贴申请，且补贴机具资质、补贴标准和办理程序等均按购机者提交补贴申请并</w:t>
      </w:r>
      <w:r>
        <w:rPr>
          <w:rFonts w:hint="eastAsia" w:ascii="仿宋_GB2312" w:hAnsi="仿宋_GB2312" w:eastAsia="仿宋_GB2312" w:cs="仿宋_GB2312"/>
          <w:sz w:val="32"/>
          <w:szCs w:val="32"/>
        </w:rPr>
        <w:t>录入办理服务</w:t>
      </w:r>
      <w:r>
        <w:rPr>
          <w:rFonts w:hint="eastAsia" w:ascii="仿宋_GB2312" w:hAnsi="仿宋_GB2312" w:eastAsia="仿宋_GB2312" w:cs="仿宋_GB2312"/>
          <w:color w:val="000000"/>
          <w:sz w:val="32"/>
          <w:szCs w:val="32"/>
        </w:rPr>
        <w:t>系统时的相关规定执行，不受政策调整影响，切实稳定购机者补贴申领预期。购机者对其购置的补贴机具拥有所有权，自主使用，可依法处置，若存在争议，由县级补贴领导小组集体研究决定。</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仿宋_GB2312"/>
    <w:panose1 w:val="02000000000000000000"/>
    <w:charset w:val="86"/>
    <w:family w:val="auto"/>
    <w:pitch w:val="default"/>
    <w:sig w:usb0="00000000" w:usb1="00000000" w:usb2="00000012" w:usb3="00000000" w:csb0="00040001" w:csb1="00000000"/>
  </w:font>
  <w:font w:name="仿宋_GB2312">
    <w:panose1 w:val="02010609030101010101"/>
    <w:charset w:val="86"/>
    <w:family w:val="auto"/>
    <w:pitch w:val="default"/>
    <w:sig w:usb0="00000001" w:usb1="080E0000" w:usb2="00000000" w:usb3="00000000" w:csb0="00040000" w:csb1="00000000"/>
  </w:font>
  <w:font w:name="方正黑体_GBK">
    <w:altName w:val="微软雅黑"/>
    <w:panose1 w:val="02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F5C23CF"/>
    <w:rsid w:val="3F5C23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iPriority="99"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table of authorities"/>
    <w:basedOn w:val="1"/>
    <w:next w:val="1"/>
    <w:unhideWhenUsed/>
    <w:qFormat/>
    <w:uiPriority w:val="99"/>
    <w:pPr>
      <w:ind w:left="420" w:leftChars="200"/>
    </w:pPr>
  </w:style>
  <w:style w:type="paragraph" w:styleId="3">
    <w:name w:val="Normal (Web)"/>
    <w:basedOn w:val="1"/>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2021-07-16T01:17:00Z</dcterms:created>
  <dc:creator>miss.n</dc:creator>
  <cp:lastModifiedBy>miss.n</cp:lastModifiedBy>
  <dcterms:modified xsi:type="dcterms:W3CDTF">2021-07-16T01:18:21Z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FF77FF6602264DC9B171882D2772B682</vt:lpwstr>
  </property>
</Properties>
</file>